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6ED38" w14:textId="311DF813" w:rsidR="006E5A34" w:rsidRPr="00EC340B" w:rsidRDefault="006E5A34" w:rsidP="00E25146">
      <w:pPr>
        <w:rPr>
          <w:b/>
          <w:bCs/>
        </w:rPr>
      </w:pPr>
      <w:r w:rsidRPr="00EC340B">
        <w:rPr>
          <w:b/>
          <w:bCs/>
        </w:rPr>
        <w:t>NOTA DE PRENSA</w:t>
      </w:r>
      <w:r w:rsidR="00C569B9" w:rsidRPr="00EC340B">
        <w:rPr>
          <w:b/>
          <w:bCs/>
        </w:rPr>
        <w:t xml:space="preserve"> </w:t>
      </w:r>
      <w:r w:rsidR="00DC0D6A">
        <w:rPr>
          <w:b/>
          <w:bCs/>
        </w:rPr>
        <w:t>30</w:t>
      </w:r>
      <w:r w:rsidR="00C569B9" w:rsidRPr="00EC340B">
        <w:rPr>
          <w:b/>
          <w:bCs/>
        </w:rPr>
        <w:t>/</w:t>
      </w:r>
      <w:r w:rsidR="002901D8">
        <w:rPr>
          <w:b/>
          <w:bCs/>
        </w:rPr>
        <w:t>1</w:t>
      </w:r>
      <w:r w:rsidR="00C569B9" w:rsidRPr="00EC340B">
        <w:rPr>
          <w:b/>
          <w:bCs/>
        </w:rPr>
        <w:t>/2</w:t>
      </w:r>
      <w:r w:rsidR="002901D8">
        <w:rPr>
          <w:b/>
          <w:bCs/>
        </w:rPr>
        <w:t>6</w:t>
      </w:r>
    </w:p>
    <w:p w14:paraId="190CDAF5" w14:textId="77777777" w:rsidR="00DC0D6A" w:rsidRPr="00DC0D6A" w:rsidRDefault="00DC0D6A" w:rsidP="002901D8">
      <w:pPr>
        <w:pStyle w:val="NormalWeb"/>
        <w:rPr>
          <w:rFonts w:asciiTheme="minorHAnsi" w:hAnsiTheme="minorHAnsi" w:cstheme="minorHAnsi"/>
          <w:b/>
          <w:bCs/>
          <w:sz w:val="40"/>
          <w:szCs w:val="40"/>
        </w:rPr>
      </w:pPr>
      <w:r w:rsidRPr="00DC0D6A">
        <w:rPr>
          <w:rFonts w:asciiTheme="minorHAnsi" w:hAnsiTheme="minorHAnsi" w:cstheme="minorHAnsi"/>
          <w:b/>
          <w:bCs/>
          <w:sz w:val="40"/>
          <w:szCs w:val="40"/>
        </w:rPr>
        <w:t>La EGM Parque Empresarial Táctica aprueba por unanimidad su gestión y el Plan de Actuación 2026</w:t>
      </w:r>
    </w:p>
    <w:p w14:paraId="4680993A" w14:textId="6E5D71B4" w:rsidR="00DC0D6A" w:rsidRPr="00DC0D6A" w:rsidRDefault="00DC0D6A" w:rsidP="00784D40">
      <w:pPr>
        <w:pStyle w:val="NormalWeb"/>
        <w:rPr>
          <w:rFonts w:ascii="Calibri" w:hAnsi="Calibri" w:cs="Calibri"/>
          <w:b/>
          <w:bCs/>
        </w:rPr>
      </w:pPr>
      <w:r w:rsidRPr="00DC0D6A">
        <w:rPr>
          <w:rFonts w:ascii="Calibri" w:hAnsi="Calibri" w:cs="Calibri"/>
          <w:b/>
          <w:bCs/>
        </w:rPr>
        <w:t xml:space="preserve">La Asamblea General respalda las cuentas de 2025, el presupuesto de 2026 y las líneas estratégicas </w:t>
      </w:r>
      <w:r>
        <w:rPr>
          <w:rFonts w:ascii="Calibri" w:hAnsi="Calibri" w:cs="Calibri"/>
          <w:b/>
          <w:bCs/>
        </w:rPr>
        <w:t>para seguir mejorando servicios e infraestructuras</w:t>
      </w:r>
    </w:p>
    <w:p w14:paraId="01AB8FFB" w14:textId="3ED68387" w:rsidR="00784D40" w:rsidRPr="00784D40" w:rsidRDefault="00784D40" w:rsidP="00784D40">
      <w:pPr>
        <w:pStyle w:val="NormalWeb"/>
        <w:rPr>
          <w:rFonts w:asciiTheme="minorHAnsi" w:hAnsiTheme="minorHAnsi" w:cstheme="minorHAnsi"/>
          <w:sz w:val="22"/>
          <w:szCs w:val="22"/>
        </w:rPr>
      </w:pPr>
      <w:r w:rsidRPr="00784D40">
        <w:rPr>
          <w:rFonts w:asciiTheme="minorHAnsi" w:hAnsiTheme="minorHAnsi" w:cstheme="minorHAnsi"/>
          <w:sz w:val="22"/>
          <w:szCs w:val="22"/>
        </w:rPr>
        <w:t xml:space="preserve">La </w:t>
      </w:r>
      <w:r w:rsidRPr="00784D40">
        <w:rPr>
          <w:rFonts w:asciiTheme="minorHAnsi" w:hAnsiTheme="minorHAnsi" w:cstheme="minorHAnsi"/>
          <w:b/>
          <w:bCs/>
          <w:sz w:val="22"/>
          <w:szCs w:val="22"/>
        </w:rPr>
        <w:t>Entidad de Gestión y Modernización (EGM) del Parque Empresarial Táctica</w:t>
      </w:r>
      <w:r w:rsidRPr="00784D40">
        <w:rPr>
          <w:rFonts w:asciiTheme="minorHAnsi" w:hAnsiTheme="minorHAnsi" w:cstheme="minorHAnsi"/>
          <w:sz w:val="22"/>
          <w:szCs w:val="22"/>
        </w:rPr>
        <w:t xml:space="preserve"> celebró ayer su Asamblea General en el Hotel Valencia Congress, en la que se aprobaron por unanimidad todos los puntos del orden del día, entre ellos la memoria de actividades de 2025, las cuentas del ejercicio y el presupuesto para 2026, que asciende a 131.000 euros.</w:t>
      </w:r>
    </w:p>
    <w:p w14:paraId="2DBF38B9" w14:textId="21380552" w:rsidR="00784D40" w:rsidRPr="00784D40" w:rsidRDefault="00784D40" w:rsidP="00784D40">
      <w:pPr>
        <w:pStyle w:val="NormalWeb"/>
        <w:rPr>
          <w:rFonts w:asciiTheme="minorHAnsi" w:hAnsiTheme="minorHAnsi" w:cstheme="minorHAnsi"/>
          <w:sz w:val="22"/>
          <w:szCs w:val="22"/>
        </w:rPr>
      </w:pPr>
      <w:r w:rsidRPr="00784D40">
        <w:rPr>
          <w:rFonts w:asciiTheme="minorHAnsi" w:hAnsiTheme="minorHAnsi" w:cstheme="minorHAnsi"/>
          <w:sz w:val="22"/>
          <w:szCs w:val="22"/>
        </w:rPr>
        <w:t xml:space="preserve">La presidenta de la EGM, </w:t>
      </w:r>
      <w:r w:rsidRPr="00784D40">
        <w:rPr>
          <w:rFonts w:asciiTheme="minorHAnsi" w:hAnsiTheme="minorHAnsi" w:cstheme="minorHAnsi"/>
          <w:b/>
          <w:bCs/>
          <w:sz w:val="22"/>
          <w:szCs w:val="22"/>
        </w:rPr>
        <w:t>Diana Aparicio</w:t>
      </w:r>
      <w:r w:rsidRPr="00784D40">
        <w:rPr>
          <w:rFonts w:asciiTheme="minorHAnsi" w:hAnsiTheme="minorHAnsi" w:cstheme="minorHAnsi"/>
          <w:sz w:val="22"/>
          <w:szCs w:val="22"/>
        </w:rPr>
        <w:t xml:space="preserve">, abrió la sesión con un mensaje de bienvenida a las empresas asistentes, en el que realizó un balance del último ejercicio y apeló a una mayor implicación del conjunto del parque empresarial. En este sentido, destacó que </w:t>
      </w:r>
      <w:r w:rsidRPr="00784D40">
        <w:rPr>
          <w:rFonts w:asciiTheme="minorHAnsi" w:hAnsiTheme="minorHAnsi" w:cstheme="minorHAnsi"/>
          <w:i/>
          <w:iCs/>
          <w:sz w:val="22"/>
          <w:szCs w:val="22"/>
        </w:rPr>
        <w:t>“necesitamos que todas las empresas y trabajadores estén más involucrados</w:t>
      </w:r>
      <w:r>
        <w:rPr>
          <w:rFonts w:asciiTheme="minorHAnsi" w:hAnsiTheme="minorHAnsi" w:cstheme="minorHAnsi"/>
          <w:i/>
          <w:iCs/>
          <w:sz w:val="22"/>
          <w:szCs w:val="22"/>
        </w:rPr>
        <w:t xml:space="preserve"> en las iniciativas de la EGM;</w:t>
      </w:r>
      <w:r w:rsidRPr="00784D40">
        <w:rPr>
          <w:rFonts w:asciiTheme="minorHAnsi" w:hAnsiTheme="minorHAnsi" w:cstheme="minorHAnsi"/>
          <w:i/>
          <w:iCs/>
          <w:sz w:val="22"/>
          <w:szCs w:val="22"/>
        </w:rPr>
        <w:br/>
        <w:t>os animo a seguir participando”</w:t>
      </w:r>
      <w:r>
        <w:rPr>
          <w:rFonts w:asciiTheme="minorHAnsi" w:hAnsiTheme="minorHAnsi" w:cstheme="minorHAnsi"/>
          <w:i/>
          <w:iCs/>
          <w:sz w:val="22"/>
          <w:szCs w:val="22"/>
        </w:rPr>
        <w:t xml:space="preserve">, </w:t>
      </w:r>
      <w:r w:rsidRPr="00784D40">
        <w:rPr>
          <w:rFonts w:asciiTheme="minorHAnsi" w:hAnsiTheme="minorHAnsi" w:cstheme="minorHAnsi"/>
          <w:sz w:val="22"/>
          <w:szCs w:val="22"/>
        </w:rPr>
        <w:t>les emplazó.</w:t>
      </w:r>
    </w:p>
    <w:p w14:paraId="12F9E701" w14:textId="1C9DC479" w:rsidR="00784D40" w:rsidRPr="00784D40" w:rsidRDefault="00784D40" w:rsidP="00784D40">
      <w:pPr>
        <w:pStyle w:val="NormalWeb"/>
        <w:rPr>
          <w:rFonts w:asciiTheme="minorHAnsi" w:hAnsiTheme="minorHAnsi" w:cstheme="minorHAnsi"/>
          <w:sz w:val="22"/>
          <w:szCs w:val="22"/>
        </w:rPr>
      </w:pPr>
      <w:r w:rsidRPr="00784D40">
        <w:rPr>
          <w:rFonts w:asciiTheme="minorHAnsi" w:hAnsiTheme="minorHAnsi" w:cstheme="minorHAnsi"/>
          <w:sz w:val="22"/>
          <w:szCs w:val="22"/>
        </w:rPr>
        <w:t xml:space="preserve">Durante la Asamblea, la gerente de la EGM, </w:t>
      </w:r>
      <w:r w:rsidRPr="00784D40">
        <w:rPr>
          <w:rFonts w:asciiTheme="minorHAnsi" w:hAnsiTheme="minorHAnsi" w:cstheme="minorHAnsi"/>
          <w:b/>
          <w:bCs/>
          <w:sz w:val="22"/>
          <w:szCs w:val="22"/>
        </w:rPr>
        <w:t>Asun Roselló</w:t>
      </w:r>
      <w:r w:rsidRPr="00784D40">
        <w:rPr>
          <w:rFonts w:asciiTheme="minorHAnsi" w:hAnsiTheme="minorHAnsi" w:cstheme="minorHAnsi"/>
          <w:sz w:val="22"/>
          <w:szCs w:val="22"/>
        </w:rPr>
        <w:t xml:space="preserve">, presentó la </w:t>
      </w:r>
      <w:r w:rsidRPr="00784D40">
        <w:rPr>
          <w:rFonts w:asciiTheme="minorHAnsi" w:hAnsiTheme="minorHAnsi" w:cstheme="minorHAnsi"/>
          <w:b/>
          <w:bCs/>
          <w:sz w:val="22"/>
          <w:szCs w:val="22"/>
        </w:rPr>
        <w:t>memoria anual de actividades</w:t>
      </w:r>
      <w:r w:rsidRPr="00784D40">
        <w:rPr>
          <w:rFonts w:asciiTheme="minorHAnsi" w:hAnsiTheme="minorHAnsi" w:cstheme="minorHAnsi"/>
          <w:sz w:val="22"/>
          <w:szCs w:val="22"/>
        </w:rPr>
        <w:t xml:space="preserve"> correspondiente a 2025, en la que puso de relieve el trabajo desarrollado para </w:t>
      </w:r>
      <w:r>
        <w:rPr>
          <w:rFonts w:asciiTheme="minorHAnsi" w:hAnsiTheme="minorHAnsi" w:cstheme="minorHAnsi"/>
          <w:sz w:val="22"/>
          <w:szCs w:val="22"/>
        </w:rPr>
        <w:t>la atención a empresas y trabajadores. En esta labor, l</w:t>
      </w:r>
      <w:r w:rsidRPr="00784D40">
        <w:rPr>
          <w:rFonts w:asciiTheme="minorHAnsi" w:hAnsiTheme="minorHAnsi" w:cstheme="minorHAnsi"/>
          <w:sz w:val="22"/>
          <w:szCs w:val="22"/>
        </w:rPr>
        <w:t>a EGM detectó un total de 281 incidencias relacionadas con alcantarillado, jardinería, señalización y aceras, entre otras, que fueron objeto de seguimiento hasta su resolución definitiva. Roselló subrayó además la estrecha colaboración con la administración local, reflejada en iniciativas como la Agencia de Colocación Municipal, el impulso de la FP Dual o la participación en la oficina de simbiosis industrial.</w:t>
      </w:r>
    </w:p>
    <w:p w14:paraId="1BEFCEF4" w14:textId="0A498B13" w:rsidR="00784D40" w:rsidRPr="004A44E3" w:rsidRDefault="00784D40" w:rsidP="00784D40">
      <w:pPr>
        <w:pStyle w:val="NormalWeb"/>
        <w:rPr>
          <w:rFonts w:asciiTheme="minorHAnsi" w:hAnsiTheme="minorHAnsi" w:cstheme="minorHAnsi"/>
          <w:sz w:val="22"/>
          <w:szCs w:val="22"/>
        </w:rPr>
      </w:pPr>
      <w:r w:rsidRPr="004A44E3">
        <w:rPr>
          <w:rFonts w:asciiTheme="minorHAnsi" w:hAnsiTheme="minorHAnsi" w:cstheme="minorHAnsi"/>
          <w:sz w:val="22"/>
          <w:szCs w:val="22"/>
        </w:rPr>
        <w:t xml:space="preserve">En paralelo, la EGM trabaja en mejorar aspectos clave como el transporte público, reclamando mejoras a las administraciones y apelando a las empresas a favorecer iniciativas que </w:t>
      </w:r>
      <w:r w:rsidR="00513631" w:rsidRPr="004A44E3">
        <w:rPr>
          <w:rFonts w:asciiTheme="minorHAnsi" w:hAnsiTheme="minorHAnsi" w:cstheme="minorHAnsi"/>
          <w:sz w:val="22"/>
          <w:szCs w:val="22"/>
        </w:rPr>
        <w:t xml:space="preserve">disminuyan </w:t>
      </w:r>
      <w:r w:rsidRPr="004A44E3">
        <w:rPr>
          <w:rFonts w:asciiTheme="minorHAnsi" w:hAnsiTheme="minorHAnsi" w:cstheme="minorHAnsi"/>
          <w:sz w:val="22"/>
          <w:szCs w:val="22"/>
        </w:rPr>
        <w:t xml:space="preserve">el acceso al parque en vehículo privado, como la flexibilidad laboral y </w:t>
      </w:r>
      <w:r w:rsidR="00513631" w:rsidRPr="004A44E3">
        <w:rPr>
          <w:rFonts w:asciiTheme="minorHAnsi" w:hAnsiTheme="minorHAnsi" w:cstheme="minorHAnsi"/>
          <w:sz w:val="22"/>
          <w:szCs w:val="22"/>
        </w:rPr>
        <w:t>la implantación de autobús empresarial</w:t>
      </w:r>
      <w:r w:rsidRPr="004A44E3">
        <w:rPr>
          <w:rFonts w:asciiTheme="minorHAnsi" w:hAnsiTheme="minorHAnsi" w:cstheme="minorHAnsi"/>
          <w:sz w:val="22"/>
          <w:szCs w:val="22"/>
        </w:rPr>
        <w:t xml:space="preserve">.  También se indicó que se trabaja en </w:t>
      </w:r>
      <w:r w:rsidR="00513631" w:rsidRPr="004A44E3">
        <w:rPr>
          <w:rFonts w:asciiTheme="minorHAnsi" w:hAnsiTheme="minorHAnsi" w:cstheme="minorHAnsi"/>
          <w:sz w:val="22"/>
          <w:szCs w:val="22"/>
        </w:rPr>
        <w:t>favor de la limpieza del área empresarial</w:t>
      </w:r>
      <w:r w:rsidRPr="004A44E3">
        <w:rPr>
          <w:rFonts w:asciiTheme="minorHAnsi" w:hAnsiTheme="minorHAnsi" w:cstheme="minorHAnsi"/>
          <w:sz w:val="22"/>
          <w:szCs w:val="22"/>
        </w:rPr>
        <w:t xml:space="preserve">, mediante informes </w:t>
      </w:r>
      <w:r w:rsidR="00513631" w:rsidRPr="004A44E3">
        <w:rPr>
          <w:rFonts w:asciiTheme="minorHAnsi" w:hAnsiTheme="minorHAnsi" w:cstheme="minorHAnsi"/>
          <w:sz w:val="22"/>
          <w:szCs w:val="22"/>
        </w:rPr>
        <w:t xml:space="preserve">semanales </w:t>
      </w:r>
      <w:r w:rsidRPr="004A44E3">
        <w:rPr>
          <w:rFonts w:asciiTheme="minorHAnsi" w:hAnsiTheme="minorHAnsi" w:cstheme="minorHAnsi"/>
          <w:sz w:val="22"/>
          <w:szCs w:val="22"/>
        </w:rPr>
        <w:t>remitidos al Ayuntamiento de Paterna.</w:t>
      </w:r>
      <w:r w:rsidR="004A4912" w:rsidRPr="004A44E3">
        <w:rPr>
          <w:rFonts w:asciiTheme="minorHAnsi" w:hAnsiTheme="minorHAnsi" w:cstheme="minorHAnsi"/>
          <w:sz w:val="22"/>
          <w:szCs w:val="22"/>
        </w:rPr>
        <w:t xml:space="preserve"> Otro de los hitos comentando fue la puesta en servicio del Mapa Solar digital, aplicación a disposición de las empresas para valorar acciones que les permitan ahorrar costes económicos y medioambientales.</w:t>
      </w:r>
    </w:p>
    <w:p w14:paraId="050B88AD" w14:textId="3B2DB735" w:rsidR="00784D40" w:rsidRPr="00784D40" w:rsidRDefault="00784D40" w:rsidP="00784D40">
      <w:pPr>
        <w:pStyle w:val="NormalWeb"/>
        <w:rPr>
          <w:rFonts w:asciiTheme="minorHAnsi" w:hAnsiTheme="minorHAnsi" w:cstheme="minorHAnsi"/>
          <w:b/>
          <w:bCs/>
          <w:sz w:val="22"/>
          <w:szCs w:val="22"/>
        </w:rPr>
      </w:pPr>
      <w:r w:rsidRPr="00784D40">
        <w:rPr>
          <w:rFonts w:asciiTheme="minorHAnsi" w:hAnsiTheme="minorHAnsi" w:cstheme="minorHAnsi"/>
          <w:b/>
          <w:bCs/>
          <w:sz w:val="22"/>
          <w:szCs w:val="22"/>
        </w:rPr>
        <w:t xml:space="preserve">Apoyo de </w:t>
      </w:r>
      <w:r w:rsidR="002A609C">
        <w:rPr>
          <w:rFonts w:asciiTheme="minorHAnsi" w:hAnsiTheme="minorHAnsi" w:cstheme="minorHAnsi"/>
          <w:b/>
          <w:bCs/>
          <w:sz w:val="22"/>
          <w:szCs w:val="22"/>
        </w:rPr>
        <w:t>las administraciones públicas</w:t>
      </w:r>
    </w:p>
    <w:p w14:paraId="7ABA1D85" w14:textId="36A2558D" w:rsidR="002A609C" w:rsidRPr="004A44E3" w:rsidRDefault="00784D40" w:rsidP="00784D40">
      <w:pPr>
        <w:pStyle w:val="NormalWeb"/>
        <w:rPr>
          <w:rFonts w:asciiTheme="minorHAnsi" w:hAnsiTheme="minorHAnsi" w:cstheme="minorHAnsi"/>
          <w:sz w:val="22"/>
          <w:szCs w:val="22"/>
        </w:rPr>
      </w:pPr>
      <w:r w:rsidRPr="004A44E3">
        <w:rPr>
          <w:rFonts w:asciiTheme="minorHAnsi" w:hAnsiTheme="minorHAnsi" w:cstheme="minorHAnsi"/>
          <w:sz w:val="22"/>
          <w:szCs w:val="22"/>
        </w:rPr>
        <w:t>La</w:t>
      </w:r>
      <w:r w:rsidR="002A609C" w:rsidRPr="004A44E3">
        <w:rPr>
          <w:rFonts w:asciiTheme="minorHAnsi" w:hAnsiTheme="minorHAnsi" w:cstheme="minorHAnsi"/>
          <w:sz w:val="22"/>
          <w:szCs w:val="22"/>
        </w:rPr>
        <w:t xml:space="preserve"> colaboración público privada es uno de los pilares sobre los que se asientan las Entidades de Gestión y Modernización. En este sentido, la</w:t>
      </w:r>
      <w:r w:rsidRPr="004A44E3">
        <w:rPr>
          <w:rFonts w:asciiTheme="minorHAnsi" w:hAnsiTheme="minorHAnsi" w:cstheme="minorHAnsi"/>
          <w:sz w:val="22"/>
          <w:szCs w:val="22"/>
        </w:rPr>
        <w:t xml:space="preserve"> Asamblea fue informada de la subvención municipal concedida por el </w:t>
      </w:r>
      <w:r w:rsidRPr="004A44E3">
        <w:rPr>
          <w:rFonts w:asciiTheme="minorHAnsi" w:hAnsiTheme="minorHAnsi" w:cstheme="minorHAnsi"/>
          <w:b/>
          <w:bCs/>
          <w:sz w:val="22"/>
          <w:szCs w:val="22"/>
        </w:rPr>
        <w:t>Ayuntamiento de Paterna</w:t>
      </w:r>
      <w:r w:rsidRPr="004A44E3">
        <w:rPr>
          <w:rFonts w:asciiTheme="minorHAnsi" w:hAnsiTheme="minorHAnsi" w:cstheme="minorHAnsi"/>
          <w:sz w:val="22"/>
          <w:szCs w:val="22"/>
        </w:rPr>
        <w:t xml:space="preserve">, </w:t>
      </w:r>
      <w:r w:rsidR="002A609C" w:rsidRPr="004A44E3">
        <w:rPr>
          <w:rFonts w:asciiTheme="minorHAnsi" w:hAnsiTheme="minorHAnsi" w:cstheme="minorHAnsi"/>
          <w:sz w:val="22"/>
          <w:szCs w:val="22"/>
        </w:rPr>
        <w:t xml:space="preserve">destinada a </w:t>
      </w:r>
      <w:r w:rsidRPr="004A44E3">
        <w:rPr>
          <w:rFonts w:asciiTheme="minorHAnsi" w:hAnsiTheme="minorHAnsi" w:cstheme="minorHAnsi"/>
          <w:sz w:val="22"/>
          <w:szCs w:val="22"/>
        </w:rPr>
        <w:t>acciones como la finalización del censo de seguridad, intervenciones en aceras y alcorques, así como la implantación de la herramienta de gestión</w:t>
      </w:r>
      <w:r w:rsidR="00513631" w:rsidRPr="004A44E3">
        <w:rPr>
          <w:rFonts w:asciiTheme="minorHAnsi" w:hAnsiTheme="minorHAnsi" w:cstheme="minorHAnsi"/>
          <w:sz w:val="22"/>
          <w:szCs w:val="22"/>
        </w:rPr>
        <w:t xml:space="preserve"> y SIG industrial</w:t>
      </w:r>
      <w:r w:rsidRPr="004A44E3">
        <w:rPr>
          <w:rFonts w:asciiTheme="minorHAnsi" w:hAnsiTheme="minorHAnsi" w:cstheme="minorHAnsi"/>
          <w:sz w:val="22"/>
          <w:szCs w:val="22"/>
        </w:rPr>
        <w:t xml:space="preserve">, disponible igualmente para las empresas del parque con distintos usos. </w:t>
      </w:r>
    </w:p>
    <w:p w14:paraId="79FD5097" w14:textId="510B6A55" w:rsidR="00784D40" w:rsidRDefault="00784D40" w:rsidP="00784D40">
      <w:pPr>
        <w:pStyle w:val="NormalWeb"/>
        <w:rPr>
          <w:rFonts w:asciiTheme="minorHAnsi" w:hAnsiTheme="minorHAnsi" w:cstheme="minorHAnsi"/>
          <w:sz w:val="22"/>
          <w:szCs w:val="22"/>
        </w:rPr>
      </w:pPr>
      <w:r w:rsidRPr="00784D40">
        <w:rPr>
          <w:rFonts w:asciiTheme="minorHAnsi" w:hAnsiTheme="minorHAnsi" w:cstheme="minorHAnsi"/>
          <w:sz w:val="22"/>
          <w:szCs w:val="22"/>
        </w:rPr>
        <w:t xml:space="preserve">A esta se suma una subvención de 25.174 euros de la </w:t>
      </w:r>
      <w:r w:rsidRPr="002A609C">
        <w:rPr>
          <w:rFonts w:asciiTheme="minorHAnsi" w:hAnsiTheme="minorHAnsi" w:cstheme="minorHAnsi"/>
          <w:b/>
          <w:bCs/>
          <w:sz w:val="22"/>
          <w:szCs w:val="22"/>
        </w:rPr>
        <w:t>Dirección General de Industria</w:t>
      </w:r>
      <w:r w:rsidRPr="00784D40">
        <w:rPr>
          <w:rFonts w:asciiTheme="minorHAnsi" w:hAnsiTheme="minorHAnsi" w:cstheme="minorHAnsi"/>
          <w:sz w:val="22"/>
          <w:szCs w:val="22"/>
        </w:rPr>
        <w:t>, destinada a cubrir gastos de mejora del parque empresarial y de gestión.</w:t>
      </w:r>
      <w:r>
        <w:rPr>
          <w:rFonts w:asciiTheme="minorHAnsi" w:hAnsiTheme="minorHAnsi" w:cstheme="minorHAnsi"/>
          <w:sz w:val="22"/>
          <w:szCs w:val="22"/>
        </w:rPr>
        <w:t xml:space="preserve"> También se explicó </w:t>
      </w:r>
      <w:r>
        <w:rPr>
          <w:rFonts w:asciiTheme="minorHAnsi" w:hAnsiTheme="minorHAnsi" w:cstheme="minorHAnsi"/>
          <w:sz w:val="22"/>
          <w:szCs w:val="22"/>
        </w:rPr>
        <w:lastRenderedPageBreak/>
        <w:t xml:space="preserve">las actuaciones realizadas a través de la cofinanciación de </w:t>
      </w:r>
      <w:proofErr w:type="spellStart"/>
      <w:r w:rsidRPr="002A609C">
        <w:rPr>
          <w:rFonts w:asciiTheme="minorHAnsi" w:hAnsiTheme="minorHAnsi" w:cstheme="minorHAnsi"/>
          <w:b/>
          <w:bCs/>
          <w:sz w:val="22"/>
          <w:szCs w:val="22"/>
        </w:rPr>
        <w:t>IVACE+i</w:t>
      </w:r>
      <w:proofErr w:type="spellEnd"/>
      <w:r>
        <w:rPr>
          <w:rFonts w:asciiTheme="minorHAnsi" w:hAnsiTheme="minorHAnsi" w:cstheme="minorHAnsi"/>
          <w:sz w:val="22"/>
          <w:szCs w:val="22"/>
        </w:rPr>
        <w:t xml:space="preserve"> y Ayuntamiento que permitió, entre otras mejoras, finalizar la red de hidrantes </w:t>
      </w:r>
      <w:r w:rsidR="00DC0D6A">
        <w:rPr>
          <w:rFonts w:asciiTheme="minorHAnsi" w:hAnsiTheme="minorHAnsi" w:cstheme="minorHAnsi"/>
          <w:sz w:val="22"/>
          <w:szCs w:val="22"/>
        </w:rPr>
        <w:t xml:space="preserve">en </w:t>
      </w:r>
      <w:proofErr w:type="gramStart"/>
      <w:r w:rsidR="00DC0D6A">
        <w:rPr>
          <w:rFonts w:asciiTheme="minorHAnsi" w:hAnsiTheme="minorHAnsi" w:cstheme="minorHAnsi"/>
          <w:sz w:val="22"/>
          <w:szCs w:val="22"/>
        </w:rPr>
        <w:t>todo el área empresarial</w:t>
      </w:r>
      <w:proofErr w:type="gramEnd"/>
      <w:r w:rsidR="00DC0D6A">
        <w:rPr>
          <w:rFonts w:asciiTheme="minorHAnsi" w:hAnsiTheme="minorHAnsi" w:cstheme="minorHAnsi"/>
          <w:sz w:val="22"/>
          <w:szCs w:val="22"/>
        </w:rPr>
        <w:t>.</w:t>
      </w:r>
    </w:p>
    <w:p w14:paraId="4108D58E" w14:textId="3681C214" w:rsidR="00DC0D6A" w:rsidRPr="00DC0D6A" w:rsidRDefault="00DC0D6A" w:rsidP="00784D40">
      <w:pPr>
        <w:pStyle w:val="NormalWeb"/>
        <w:rPr>
          <w:rFonts w:asciiTheme="minorHAnsi" w:hAnsiTheme="minorHAnsi" w:cstheme="minorHAnsi"/>
          <w:b/>
          <w:bCs/>
          <w:sz w:val="22"/>
          <w:szCs w:val="22"/>
        </w:rPr>
      </w:pPr>
      <w:r w:rsidRPr="00DC0D6A">
        <w:rPr>
          <w:rFonts w:asciiTheme="minorHAnsi" w:hAnsiTheme="minorHAnsi" w:cstheme="minorHAnsi"/>
          <w:b/>
          <w:bCs/>
          <w:sz w:val="22"/>
          <w:szCs w:val="22"/>
        </w:rPr>
        <w:t>Plan de Actuación 2026</w:t>
      </w:r>
    </w:p>
    <w:p w14:paraId="0609B33C" w14:textId="194A78B3" w:rsidR="00784D40" w:rsidRPr="00784D40" w:rsidRDefault="002A609C" w:rsidP="00784D40">
      <w:pPr>
        <w:pStyle w:val="NormalWeb"/>
        <w:rPr>
          <w:rFonts w:asciiTheme="minorHAnsi" w:hAnsiTheme="minorHAnsi" w:cstheme="minorHAnsi"/>
          <w:sz w:val="22"/>
          <w:szCs w:val="22"/>
        </w:rPr>
      </w:pPr>
      <w:r>
        <w:rPr>
          <w:rFonts w:asciiTheme="minorHAnsi" w:hAnsiTheme="minorHAnsi" w:cstheme="minorHAnsi"/>
          <w:sz w:val="22"/>
          <w:szCs w:val="22"/>
        </w:rPr>
        <w:t>La sesión finalizó con la presentación</w:t>
      </w:r>
      <w:r w:rsidR="00784D40" w:rsidRPr="00784D40">
        <w:rPr>
          <w:rFonts w:asciiTheme="minorHAnsi" w:hAnsiTheme="minorHAnsi" w:cstheme="minorHAnsi"/>
          <w:sz w:val="22"/>
          <w:szCs w:val="22"/>
        </w:rPr>
        <w:t xml:space="preserve"> </w:t>
      </w:r>
      <w:r>
        <w:rPr>
          <w:rFonts w:asciiTheme="minorHAnsi" w:hAnsiTheme="minorHAnsi" w:cstheme="minorHAnsi"/>
          <w:sz w:val="22"/>
          <w:szCs w:val="22"/>
        </w:rPr>
        <w:t>d</w:t>
      </w:r>
      <w:r w:rsidR="00784D40" w:rsidRPr="00784D40">
        <w:rPr>
          <w:rFonts w:asciiTheme="minorHAnsi" w:hAnsiTheme="minorHAnsi" w:cstheme="minorHAnsi"/>
          <w:sz w:val="22"/>
          <w:szCs w:val="22"/>
        </w:rPr>
        <w:t xml:space="preserve">el </w:t>
      </w:r>
      <w:r w:rsidR="00784D40" w:rsidRPr="00784D40">
        <w:rPr>
          <w:rFonts w:asciiTheme="minorHAnsi" w:hAnsiTheme="minorHAnsi" w:cstheme="minorHAnsi"/>
          <w:b/>
          <w:bCs/>
          <w:sz w:val="22"/>
          <w:szCs w:val="22"/>
        </w:rPr>
        <w:t>Plan de Actuación 2026</w:t>
      </w:r>
      <w:r w:rsidR="00784D40" w:rsidRPr="00784D40">
        <w:rPr>
          <w:rFonts w:asciiTheme="minorHAnsi" w:hAnsiTheme="minorHAnsi" w:cstheme="minorHAnsi"/>
          <w:sz w:val="22"/>
          <w:szCs w:val="22"/>
        </w:rPr>
        <w:t xml:space="preserve">, que se integra en el </w:t>
      </w:r>
      <w:r w:rsidR="00784D40" w:rsidRPr="00784D40">
        <w:rPr>
          <w:rFonts w:asciiTheme="minorHAnsi" w:hAnsiTheme="minorHAnsi" w:cstheme="minorHAnsi"/>
          <w:b/>
          <w:bCs/>
          <w:sz w:val="22"/>
          <w:szCs w:val="22"/>
        </w:rPr>
        <w:t>Plan Estratégico 2025-2027</w:t>
      </w:r>
      <w:r w:rsidR="00784D40" w:rsidRPr="00784D40">
        <w:rPr>
          <w:rFonts w:asciiTheme="minorHAnsi" w:hAnsiTheme="minorHAnsi" w:cstheme="minorHAnsi"/>
          <w:sz w:val="22"/>
          <w:szCs w:val="22"/>
        </w:rPr>
        <w:t xml:space="preserve"> y da continuidad al proceso de planificación y mejora iniciado en ejercicios anteriores. El plan se articula en torno a cinco ejes estratégicos: </w:t>
      </w:r>
      <w:r w:rsidR="00784D40" w:rsidRPr="00784D40">
        <w:rPr>
          <w:rFonts w:asciiTheme="minorHAnsi" w:hAnsiTheme="minorHAnsi" w:cstheme="minorHAnsi"/>
          <w:b/>
          <w:bCs/>
          <w:sz w:val="22"/>
          <w:szCs w:val="22"/>
        </w:rPr>
        <w:t>movilidad sostenible y accesible; seguridad e infraestructuras sostenibles; sostenibilidad y economía circular; innovación, competitividad empresarial y talento; y comunicación y posicionamiento estratégico</w:t>
      </w:r>
      <w:r w:rsidR="00784D40" w:rsidRPr="00784D40">
        <w:rPr>
          <w:rFonts w:asciiTheme="minorHAnsi" w:hAnsiTheme="minorHAnsi" w:cstheme="minorHAnsi"/>
          <w:sz w:val="22"/>
          <w:szCs w:val="22"/>
        </w:rPr>
        <w:t>. A través de estos ejes, se establecen las prioridades de actuación para avanzar hacia un parque empresarial más eficiente, seguro, sostenible y competitivo, reforzando su identidad y su papel como motor económico del territorio.</w:t>
      </w:r>
    </w:p>
    <w:p w14:paraId="3D2DBA5F" w14:textId="49EC6133" w:rsidR="00784D40" w:rsidRPr="00784D40" w:rsidRDefault="00DC0D6A" w:rsidP="00784D40">
      <w:pPr>
        <w:pStyle w:val="NormalWeb"/>
        <w:rPr>
          <w:rFonts w:asciiTheme="minorHAnsi" w:hAnsiTheme="minorHAnsi" w:cstheme="minorHAnsi"/>
          <w:sz w:val="22"/>
          <w:szCs w:val="22"/>
        </w:rPr>
      </w:pPr>
      <w:r>
        <w:rPr>
          <w:rFonts w:asciiTheme="minorHAnsi" w:hAnsiTheme="minorHAnsi" w:cstheme="minorHAnsi"/>
          <w:sz w:val="22"/>
          <w:szCs w:val="22"/>
        </w:rPr>
        <w:t>Con todo ello, la EGM Parque Empresarial Táctica sigue reforzando argumentos para alcanzar</w:t>
      </w:r>
      <w:r w:rsidR="00784D40" w:rsidRPr="00784D40">
        <w:rPr>
          <w:rFonts w:asciiTheme="minorHAnsi" w:hAnsiTheme="minorHAnsi" w:cstheme="minorHAnsi"/>
          <w:sz w:val="22"/>
          <w:szCs w:val="22"/>
        </w:rPr>
        <w:t xml:space="preserve"> la declaración </w:t>
      </w:r>
      <w:r>
        <w:rPr>
          <w:rFonts w:asciiTheme="minorHAnsi" w:hAnsiTheme="minorHAnsi" w:cstheme="minorHAnsi"/>
          <w:sz w:val="22"/>
          <w:szCs w:val="22"/>
        </w:rPr>
        <w:t>de</w:t>
      </w:r>
      <w:r w:rsidR="00784D40" w:rsidRPr="00784D40">
        <w:rPr>
          <w:rFonts w:asciiTheme="minorHAnsi" w:hAnsiTheme="minorHAnsi" w:cstheme="minorHAnsi"/>
          <w:sz w:val="22"/>
          <w:szCs w:val="22"/>
        </w:rPr>
        <w:t xml:space="preserve"> </w:t>
      </w:r>
      <w:r w:rsidR="00784D40" w:rsidRPr="00784D40">
        <w:rPr>
          <w:rFonts w:asciiTheme="minorHAnsi" w:hAnsiTheme="minorHAnsi" w:cstheme="minorHAnsi"/>
          <w:b/>
          <w:bCs/>
          <w:sz w:val="22"/>
          <w:szCs w:val="22"/>
        </w:rPr>
        <w:t>Área Industrial Avanzada</w:t>
      </w:r>
      <w:r w:rsidR="00784D40" w:rsidRPr="00784D40">
        <w:rPr>
          <w:rFonts w:asciiTheme="minorHAnsi" w:hAnsiTheme="minorHAnsi" w:cstheme="minorHAnsi"/>
          <w:sz w:val="22"/>
          <w:szCs w:val="22"/>
        </w:rPr>
        <w:t>, la máxima categoría otorgada por la Generalitat Valenciana</w:t>
      </w:r>
      <w:r>
        <w:rPr>
          <w:rFonts w:asciiTheme="minorHAnsi" w:hAnsiTheme="minorHAnsi" w:cstheme="minorHAnsi"/>
          <w:sz w:val="22"/>
          <w:szCs w:val="22"/>
        </w:rPr>
        <w:t xml:space="preserve"> en la clasificación de los parques empresariales</w:t>
      </w:r>
      <w:r w:rsidR="00784D40" w:rsidRPr="00784D40">
        <w:rPr>
          <w:rFonts w:asciiTheme="minorHAnsi" w:hAnsiTheme="minorHAnsi" w:cstheme="minorHAnsi"/>
          <w:sz w:val="22"/>
          <w:szCs w:val="22"/>
        </w:rPr>
        <w:t>, que conlleva nuevos beneficios para las empresas y refuerza la proyección del parque</w:t>
      </w:r>
      <w:r>
        <w:rPr>
          <w:rFonts w:asciiTheme="minorHAnsi" w:hAnsiTheme="minorHAnsi" w:cstheme="minorHAnsi"/>
          <w:sz w:val="22"/>
          <w:szCs w:val="22"/>
        </w:rPr>
        <w:t xml:space="preserve"> como destino de nuevas inversiones</w:t>
      </w:r>
      <w:r w:rsidR="00784D40" w:rsidRPr="00784D40">
        <w:rPr>
          <w:rFonts w:asciiTheme="minorHAnsi" w:hAnsiTheme="minorHAnsi" w:cstheme="minorHAnsi"/>
          <w:sz w:val="22"/>
          <w:szCs w:val="22"/>
        </w:rPr>
        <w:t>.</w:t>
      </w:r>
    </w:p>
    <w:p w14:paraId="32F614A3" w14:textId="77777777" w:rsidR="004A44E3" w:rsidRDefault="00DA0A90" w:rsidP="00DC0D6A">
      <w:pPr>
        <w:pStyle w:val="NormalWeb"/>
        <w:rPr>
          <w:rFonts w:asciiTheme="minorHAnsi" w:hAnsiTheme="minorHAnsi" w:cstheme="minorHAnsi"/>
          <w:b/>
          <w:bCs/>
          <w:sz w:val="22"/>
          <w:szCs w:val="22"/>
        </w:rPr>
      </w:pPr>
      <w:r w:rsidRPr="002A609C">
        <w:rPr>
          <w:rFonts w:asciiTheme="minorHAnsi" w:hAnsiTheme="minorHAnsi" w:cstheme="minorHAnsi"/>
          <w:b/>
          <w:bCs/>
          <w:sz w:val="22"/>
          <w:szCs w:val="22"/>
        </w:rPr>
        <w:t>Pie de foto:</w:t>
      </w:r>
      <w:r w:rsidR="004A44E3">
        <w:rPr>
          <w:rFonts w:asciiTheme="minorHAnsi" w:hAnsiTheme="minorHAnsi" w:cstheme="minorHAnsi"/>
          <w:b/>
          <w:bCs/>
          <w:sz w:val="22"/>
          <w:szCs w:val="22"/>
        </w:rPr>
        <w:t xml:space="preserve"> </w:t>
      </w:r>
    </w:p>
    <w:p w14:paraId="456A31C5" w14:textId="02DB526F" w:rsidR="00DA0A90" w:rsidRDefault="004A44E3" w:rsidP="004A44E3">
      <w:pPr>
        <w:pStyle w:val="NormalWeb"/>
        <w:numPr>
          <w:ilvl w:val="0"/>
          <w:numId w:val="4"/>
        </w:numPr>
        <w:rPr>
          <w:rFonts w:asciiTheme="minorHAnsi" w:hAnsiTheme="minorHAnsi" w:cstheme="minorHAnsi"/>
          <w:b/>
          <w:bCs/>
          <w:sz w:val="22"/>
          <w:szCs w:val="22"/>
        </w:rPr>
      </w:pPr>
      <w:r>
        <w:rPr>
          <w:rFonts w:asciiTheme="minorHAnsi" w:hAnsiTheme="minorHAnsi" w:cstheme="minorHAnsi"/>
          <w:b/>
          <w:bCs/>
          <w:sz w:val="22"/>
          <w:szCs w:val="22"/>
        </w:rPr>
        <w:t>Imagen de la Asamblea General</w:t>
      </w:r>
    </w:p>
    <w:p w14:paraId="09DD1E2D" w14:textId="198A3081" w:rsidR="004A44E3" w:rsidRPr="002A609C" w:rsidRDefault="004A44E3" w:rsidP="004A44E3">
      <w:pPr>
        <w:pStyle w:val="NormalWeb"/>
        <w:numPr>
          <w:ilvl w:val="0"/>
          <w:numId w:val="4"/>
        </w:numPr>
        <w:rPr>
          <w:rFonts w:asciiTheme="minorHAnsi" w:hAnsiTheme="minorHAnsi" w:cstheme="minorHAnsi"/>
          <w:b/>
          <w:bCs/>
          <w:sz w:val="22"/>
          <w:szCs w:val="22"/>
        </w:rPr>
      </w:pPr>
      <w:r>
        <w:rPr>
          <w:rFonts w:asciiTheme="minorHAnsi" w:hAnsiTheme="minorHAnsi" w:cstheme="minorHAnsi"/>
          <w:b/>
          <w:bCs/>
          <w:sz w:val="22"/>
          <w:szCs w:val="22"/>
        </w:rPr>
        <w:t>Foto del parque empresarial Táctica</w:t>
      </w:r>
    </w:p>
    <w:sectPr w:rsidR="004A44E3" w:rsidRPr="002A609C" w:rsidSect="000A3FC3">
      <w:headerReference w:type="default" r:id="rId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CF7A7" w14:textId="77777777" w:rsidR="00627C78" w:rsidRDefault="00627C78" w:rsidP="00667343">
      <w:r>
        <w:separator/>
      </w:r>
    </w:p>
  </w:endnote>
  <w:endnote w:type="continuationSeparator" w:id="0">
    <w:p w14:paraId="0616544A" w14:textId="77777777" w:rsidR="00627C78" w:rsidRDefault="00627C78" w:rsidP="0066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A6A66" w14:textId="77777777" w:rsidR="00627C78" w:rsidRDefault="00627C78" w:rsidP="00667343">
      <w:r>
        <w:separator/>
      </w:r>
    </w:p>
  </w:footnote>
  <w:footnote w:type="continuationSeparator" w:id="0">
    <w:p w14:paraId="4859A546" w14:textId="77777777" w:rsidR="00627C78" w:rsidRDefault="00627C78" w:rsidP="00667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B16D7" w14:textId="6B9DF1BD" w:rsidR="00667343" w:rsidRDefault="00EC340B" w:rsidP="00667343">
    <w:pPr>
      <w:pStyle w:val="Encabezado"/>
      <w:tabs>
        <w:tab w:val="clear" w:pos="4252"/>
        <w:tab w:val="clear" w:pos="8504"/>
        <w:tab w:val="left" w:pos="2626"/>
      </w:tabs>
    </w:pPr>
    <w:r>
      <w:rPr>
        <w:noProof/>
      </w:rPr>
      <w:drawing>
        <wp:inline distT="0" distB="0" distL="0" distR="0" wp14:anchorId="3F6FFB5F" wp14:editId="2A78EA26">
          <wp:extent cx="1937904" cy="877508"/>
          <wp:effectExtent l="0" t="0" r="0" b="0"/>
          <wp:docPr id="1058594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94924" name="Imagen 1058594924"/>
                  <pic:cNvPicPr/>
                </pic:nvPicPr>
                <pic:blipFill>
                  <a:blip r:embed="rId1">
                    <a:extLst>
                      <a:ext uri="{28A0092B-C50C-407E-A947-70E740481C1C}">
                        <a14:useLocalDpi xmlns:a14="http://schemas.microsoft.com/office/drawing/2010/main" val="0"/>
                      </a:ext>
                    </a:extLst>
                  </a:blip>
                  <a:stretch>
                    <a:fillRect/>
                  </a:stretch>
                </pic:blipFill>
                <pic:spPr>
                  <a:xfrm>
                    <a:off x="0" y="0"/>
                    <a:ext cx="2055172" cy="930609"/>
                  </a:xfrm>
                  <a:prstGeom prst="rect">
                    <a:avLst/>
                  </a:prstGeom>
                </pic:spPr>
              </pic:pic>
            </a:graphicData>
          </a:graphic>
        </wp:inline>
      </w:drawing>
    </w:r>
    <w:r w:rsidR="00667343">
      <w:t xml:space="preserve">                                     </w:t>
    </w:r>
    <w:r w:rsidR="00590451">
      <w:t xml:space="preserve">           </w:t>
    </w:r>
    <w:r w:rsidR="00667343">
      <w:t xml:space="preserve">     </w:t>
    </w:r>
    <w:r w:rsidR="00667343">
      <w:rPr>
        <w:noProof/>
      </w:rPr>
      <w:drawing>
        <wp:inline distT="0" distB="0" distL="0" distR="0" wp14:anchorId="790E9A58" wp14:editId="323702DD">
          <wp:extent cx="1616964" cy="750258"/>
          <wp:effectExtent l="0" t="0" r="0" b="0"/>
          <wp:docPr id="2"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900453" cy="8817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22B8"/>
    <w:multiLevelType w:val="multilevel"/>
    <w:tmpl w:val="6FB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30B55"/>
    <w:multiLevelType w:val="multilevel"/>
    <w:tmpl w:val="CDC2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771DBD"/>
    <w:multiLevelType w:val="hybridMultilevel"/>
    <w:tmpl w:val="1424183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590862D1"/>
    <w:multiLevelType w:val="hybridMultilevel"/>
    <w:tmpl w:val="918C30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676222619">
    <w:abstractNumId w:val="0"/>
  </w:num>
  <w:num w:numId="2" w16cid:durableId="868837425">
    <w:abstractNumId w:val="1"/>
  </w:num>
  <w:num w:numId="3" w16cid:durableId="995953904">
    <w:abstractNumId w:val="2"/>
  </w:num>
  <w:num w:numId="4" w16cid:durableId="9130056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D01"/>
    <w:rsid w:val="000279E9"/>
    <w:rsid w:val="00040AD1"/>
    <w:rsid w:val="000418ED"/>
    <w:rsid w:val="0005485D"/>
    <w:rsid w:val="00074052"/>
    <w:rsid w:val="00081E1B"/>
    <w:rsid w:val="000A3FC3"/>
    <w:rsid w:val="000C5634"/>
    <w:rsid w:val="000F4352"/>
    <w:rsid w:val="00115B99"/>
    <w:rsid w:val="0017054E"/>
    <w:rsid w:val="00195E33"/>
    <w:rsid w:val="001A4D51"/>
    <w:rsid w:val="001A7F21"/>
    <w:rsid w:val="001C022B"/>
    <w:rsid w:val="002256FC"/>
    <w:rsid w:val="00236B1C"/>
    <w:rsid w:val="002668A1"/>
    <w:rsid w:val="00283AB2"/>
    <w:rsid w:val="002901D8"/>
    <w:rsid w:val="00297392"/>
    <w:rsid w:val="002A609C"/>
    <w:rsid w:val="002B4415"/>
    <w:rsid w:val="002E3565"/>
    <w:rsid w:val="00304E2A"/>
    <w:rsid w:val="00314B9F"/>
    <w:rsid w:val="003224C7"/>
    <w:rsid w:val="00322BFB"/>
    <w:rsid w:val="0033710F"/>
    <w:rsid w:val="00341DDD"/>
    <w:rsid w:val="003617C1"/>
    <w:rsid w:val="003A0199"/>
    <w:rsid w:val="003A5AEC"/>
    <w:rsid w:val="003E3E1D"/>
    <w:rsid w:val="00473C0F"/>
    <w:rsid w:val="004A44E3"/>
    <w:rsid w:val="004A4912"/>
    <w:rsid w:val="004C5002"/>
    <w:rsid w:val="004D66D0"/>
    <w:rsid w:val="00513631"/>
    <w:rsid w:val="00561B85"/>
    <w:rsid w:val="00575F7F"/>
    <w:rsid w:val="00590451"/>
    <w:rsid w:val="005B3753"/>
    <w:rsid w:val="005E2BC0"/>
    <w:rsid w:val="0062183F"/>
    <w:rsid w:val="00627C78"/>
    <w:rsid w:val="00637EF1"/>
    <w:rsid w:val="0066586A"/>
    <w:rsid w:val="00667343"/>
    <w:rsid w:val="006E5A34"/>
    <w:rsid w:val="006F1988"/>
    <w:rsid w:val="00722142"/>
    <w:rsid w:val="00730BE9"/>
    <w:rsid w:val="007636E5"/>
    <w:rsid w:val="00784D40"/>
    <w:rsid w:val="007C7D52"/>
    <w:rsid w:val="0080327B"/>
    <w:rsid w:val="00807C28"/>
    <w:rsid w:val="00815906"/>
    <w:rsid w:val="0082437A"/>
    <w:rsid w:val="0086372E"/>
    <w:rsid w:val="008B566F"/>
    <w:rsid w:val="008B6256"/>
    <w:rsid w:val="008E168B"/>
    <w:rsid w:val="008E1EED"/>
    <w:rsid w:val="008F5B28"/>
    <w:rsid w:val="00944EB0"/>
    <w:rsid w:val="009730F6"/>
    <w:rsid w:val="0099725C"/>
    <w:rsid w:val="009A2BA0"/>
    <w:rsid w:val="009B27A6"/>
    <w:rsid w:val="00A35396"/>
    <w:rsid w:val="00A86815"/>
    <w:rsid w:val="00AD14BB"/>
    <w:rsid w:val="00B35A83"/>
    <w:rsid w:val="00B64800"/>
    <w:rsid w:val="00B73722"/>
    <w:rsid w:val="00B77FD5"/>
    <w:rsid w:val="00B96CB8"/>
    <w:rsid w:val="00BA715E"/>
    <w:rsid w:val="00BC2681"/>
    <w:rsid w:val="00BC2FFA"/>
    <w:rsid w:val="00BE20F3"/>
    <w:rsid w:val="00BE7BCE"/>
    <w:rsid w:val="00C3769E"/>
    <w:rsid w:val="00C569B9"/>
    <w:rsid w:val="00C6671C"/>
    <w:rsid w:val="00C76B83"/>
    <w:rsid w:val="00CA5449"/>
    <w:rsid w:val="00CE3A3A"/>
    <w:rsid w:val="00CF0331"/>
    <w:rsid w:val="00D11C69"/>
    <w:rsid w:val="00D84120"/>
    <w:rsid w:val="00DA0A90"/>
    <w:rsid w:val="00DA5D5A"/>
    <w:rsid w:val="00DA63F6"/>
    <w:rsid w:val="00DB41F3"/>
    <w:rsid w:val="00DC0D6A"/>
    <w:rsid w:val="00DD393E"/>
    <w:rsid w:val="00DF0A14"/>
    <w:rsid w:val="00E00D1F"/>
    <w:rsid w:val="00E25146"/>
    <w:rsid w:val="00E773A6"/>
    <w:rsid w:val="00E95AA3"/>
    <w:rsid w:val="00E975E4"/>
    <w:rsid w:val="00EB213F"/>
    <w:rsid w:val="00EC340B"/>
    <w:rsid w:val="00ED74CB"/>
    <w:rsid w:val="00EE5A0A"/>
    <w:rsid w:val="00F117DF"/>
    <w:rsid w:val="00F15F2C"/>
    <w:rsid w:val="00F20985"/>
    <w:rsid w:val="00F6665D"/>
    <w:rsid w:val="00F7127C"/>
    <w:rsid w:val="00FA519E"/>
    <w:rsid w:val="00FB0D01"/>
    <w:rsid w:val="00FF46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E358"/>
  <w15:chartTrackingRefBased/>
  <w15:docId w15:val="{4B5045DD-B8BA-B14D-8FC6-B8DE0779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01"/>
  </w:style>
  <w:style w:type="paragraph" w:styleId="Ttulo1">
    <w:name w:val="heading 1"/>
    <w:basedOn w:val="Normal"/>
    <w:next w:val="Normal"/>
    <w:link w:val="Ttulo1Car"/>
    <w:uiPriority w:val="9"/>
    <w:qFormat/>
    <w:rsid w:val="008F5B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901D8"/>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81E1B"/>
    <w:rPr>
      <w:color w:val="0563C1" w:themeColor="hyperlink"/>
      <w:u w:val="single"/>
    </w:rPr>
  </w:style>
  <w:style w:type="character" w:styleId="Mencinsinresolver">
    <w:name w:val="Unresolved Mention"/>
    <w:basedOn w:val="Fuentedeprrafopredeter"/>
    <w:uiPriority w:val="99"/>
    <w:semiHidden/>
    <w:unhideWhenUsed/>
    <w:rsid w:val="00081E1B"/>
    <w:rPr>
      <w:color w:val="605E5C"/>
      <w:shd w:val="clear" w:color="auto" w:fill="E1DFDD"/>
    </w:rPr>
  </w:style>
  <w:style w:type="paragraph" w:styleId="Encabezado">
    <w:name w:val="header"/>
    <w:basedOn w:val="Normal"/>
    <w:link w:val="EncabezadoCar"/>
    <w:uiPriority w:val="99"/>
    <w:unhideWhenUsed/>
    <w:rsid w:val="00667343"/>
    <w:pPr>
      <w:tabs>
        <w:tab w:val="center" w:pos="4252"/>
        <w:tab w:val="right" w:pos="8504"/>
      </w:tabs>
    </w:pPr>
  </w:style>
  <w:style w:type="character" w:customStyle="1" w:styleId="EncabezadoCar">
    <w:name w:val="Encabezado Car"/>
    <w:basedOn w:val="Fuentedeprrafopredeter"/>
    <w:link w:val="Encabezado"/>
    <w:uiPriority w:val="99"/>
    <w:rsid w:val="00667343"/>
  </w:style>
  <w:style w:type="paragraph" w:styleId="Piedepgina">
    <w:name w:val="footer"/>
    <w:basedOn w:val="Normal"/>
    <w:link w:val="PiedepginaCar"/>
    <w:uiPriority w:val="99"/>
    <w:unhideWhenUsed/>
    <w:rsid w:val="00667343"/>
    <w:pPr>
      <w:tabs>
        <w:tab w:val="center" w:pos="4252"/>
        <w:tab w:val="right" w:pos="8504"/>
      </w:tabs>
    </w:pPr>
  </w:style>
  <w:style w:type="character" w:customStyle="1" w:styleId="PiedepginaCar">
    <w:name w:val="Pie de página Car"/>
    <w:basedOn w:val="Fuentedeprrafopredeter"/>
    <w:link w:val="Piedepgina"/>
    <w:uiPriority w:val="99"/>
    <w:rsid w:val="00667343"/>
  </w:style>
  <w:style w:type="paragraph" w:customStyle="1" w:styleId="Default">
    <w:name w:val="Default"/>
    <w:rsid w:val="00590451"/>
    <w:pPr>
      <w:autoSpaceDE w:val="0"/>
      <w:autoSpaceDN w:val="0"/>
      <w:adjustRightInd w:val="0"/>
    </w:pPr>
    <w:rPr>
      <w:rFonts w:ascii="Calibri" w:eastAsia="Calibri" w:hAnsi="Calibri" w:cs="Calibri"/>
      <w:color w:val="000000"/>
      <w:lang w:val="es-ES_tradnl" w:eastAsia="es-ES_tradnl"/>
    </w:rPr>
  </w:style>
  <w:style w:type="character" w:customStyle="1" w:styleId="Ttulo1Car">
    <w:name w:val="Título 1 Car"/>
    <w:basedOn w:val="Fuentedeprrafopredeter"/>
    <w:link w:val="Ttulo1"/>
    <w:uiPriority w:val="9"/>
    <w:rsid w:val="008F5B2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901D8"/>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2901D8"/>
    <w:pPr>
      <w:spacing w:before="100" w:beforeAutospacing="1" w:after="100" w:afterAutospacing="1"/>
    </w:pPr>
    <w:rPr>
      <w:rFonts w:ascii="Times New Roman" w:eastAsia="Times New Roman" w:hAnsi="Times New Roman" w:cs="Times New Roman"/>
      <w:lang w:eastAsia="es-ES_tradnl"/>
    </w:rPr>
  </w:style>
  <w:style w:type="character" w:styleId="Fuerte">
    <w:name w:val="Strong"/>
    <w:basedOn w:val="Fuentedeprrafopredeter"/>
    <w:uiPriority w:val="22"/>
    <w:qFormat/>
    <w:rsid w:val="002901D8"/>
    <w:rPr>
      <w:b/>
      <w:bCs/>
    </w:rPr>
  </w:style>
  <w:style w:type="character" w:customStyle="1" w:styleId="whitespace-normal">
    <w:name w:val="whitespace-normal"/>
    <w:basedOn w:val="Fuentedeprrafopredeter"/>
    <w:rsid w:val="00290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478959">
      <w:bodyDiv w:val="1"/>
      <w:marLeft w:val="0"/>
      <w:marRight w:val="0"/>
      <w:marTop w:val="0"/>
      <w:marBottom w:val="0"/>
      <w:divBdr>
        <w:top w:val="none" w:sz="0" w:space="0" w:color="auto"/>
        <w:left w:val="none" w:sz="0" w:space="0" w:color="auto"/>
        <w:bottom w:val="none" w:sz="0" w:space="0" w:color="auto"/>
        <w:right w:val="none" w:sz="0" w:space="0" w:color="auto"/>
      </w:divBdr>
    </w:div>
    <w:div w:id="151291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670</Words>
  <Characters>3691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 Bretó Miralles</dc:creator>
  <cp:keywords/>
  <dc:description/>
  <cp:lastModifiedBy>Pau Bretó Miralles</cp:lastModifiedBy>
  <cp:revision>3</cp:revision>
  <dcterms:created xsi:type="dcterms:W3CDTF">2026-01-30T09:03:00Z</dcterms:created>
  <dcterms:modified xsi:type="dcterms:W3CDTF">2026-01-30T09:09:00Z</dcterms:modified>
</cp:coreProperties>
</file>